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687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 w14:paraId="0A360A2C">
      <w:pPr>
        <w:widowControl/>
        <w:spacing w:line="440" w:lineRule="exact"/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中国生态文化协会会员网络缴费流程</w:t>
      </w:r>
    </w:p>
    <w:bookmarkEnd w:id="0"/>
    <w:p w14:paraId="44D480E9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第一步：</w:t>
      </w:r>
      <w:r>
        <w:rPr>
          <w:rFonts w:hint="eastAsia"/>
          <w:spacing w:val="0"/>
          <w:sz w:val="32"/>
          <w:szCs w:val="32"/>
          <w:lang w:eastAsia="zh-CN"/>
        </w:rPr>
        <w:t>登录</w:t>
      </w:r>
      <w:r>
        <w:rPr>
          <w:rFonts w:hint="eastAsia"/>
          <w:spacing w:val="0"/>
          <w:sz w:val="32"/>
          <w:szCs w:val="32"/>
        </w:rPr>
        <w:t>协会官方网站</w:t>
      </w:r>
      <w:r>
        <w:fldChar w:fldCharType="begin"/>
      </w:r>
      <w:r>
        <w:instrText xml:space="preserve"> HYPERLINK "http://www.cecachina.cn/" </w:instrText>
      </w:r>
      <w:r>
        <w:fldChar w:fldCharType="separate"/>
      </w:r>
      <w:r>
        <w:rPr>
          <w:rStyle w:val="7"/>
          <w:sz w:val="32"/>
          <w:szCs w:val="32"/>
        </w:rPr>
        <w:t>http://www.cecachina.cn/</w:t>
      </w:r>
      <w:r>
        <w:rPr>
          <w:rStyle w:val="7"/>
          <w:sz w:val="32"/>
          <w:szCs w:val="32"/>
        </w:rPr>
        <w:fldChar w:fldCharType="end"/>
      </w:r>
      <w:r>
        <w:rPr>
          <w:rFonts w:hint="eastAsia"/>
          <w:sz w:val="32"/>
          <w:szCs w:val="32"/>
        </w:rPr>
        <w:t>，点击左下方“</w:t>
      </w:r>
      <w:r>
        <w:rPr>
          <w:rFonts w:hint="eastAsia"/>
          <w:sz w:val="32"/>
          <w:szCs w:val="32"/>
          <w:lang w:eastAsia="zh-CN"/>
        </w:rPr>
        <w:t>入会</w:t>
      </w:r>
      <w:r>
        <w:rPr>
          <w:rFonts w:hint="eastAsia"/>
          <w:sz w:val="32"/>
          <w:szCs w:val="32"/>
        </w:rPr>
        <w:t>申请”，如已注册账号，可以点击“会员</w:t>
      </w:r>
      <w:r>
        <w:rPr>
          <w:rFonts w:hint="eastAsia"/>
          <w:sz w:val="32"/>
          <w:szCs w:val="32"/>
          <w:lang w:eastAsia="zh-CN"/>
        </w:rPr>
        <w:t>登录</w:t>
      </w:r>
      <w:r>
        <w:rPr>
          <w:rFonts w:hint="eastAsia"/>
          <w:sz w:val="32"/>
          <w:szCs w:val="32"/>
        </w:rPr>
        <w:t>”。</w:t>
      </w:r>
    </w:p>
    <w:p w14:paraId="42A86EC0">
      <w:pPr>
        <w:rPr>
          <w:sz w:val="32"/>
          <w:szCs w:val="32"/>
        </w:rPr>
      </w:pPr>
      <w:r>
        <w:drawing>
          <wp:inline distT="0" distB="0" distL="0" distR="0">
            <wp:extent cx="5274310" cy="2947670"/>
            <wp:effectExtent l="0" t="0" r="8890" b="1143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47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36575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第二步：在会员注册界面，个人会员请选择“个人会员”，单位会员选择“单位会员”。</w:t>
      </w:r>
    </w:p>
    <w:p w14:paraId="312260DE">
      <w:pPr>
        <w:rPr>
          <w:sz w:val="32"/>
          <w:szCs w:val="32"/>
        </w:rPr>
      </w:pPr>
      <w:r>
        <w:drawing>
          <wp:inline distT="0" distB="0" distL="0" distR="0">
            <wp:extent cx="5274310" cy="2801620"/>
            <wp:effectExtent l="0" t="0" r="889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E3F0F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第三步：完成注册。注意会员类型选择“普通会员”。注意，如果同时注册单位会员和个人会员，请选择不同的手机号注册，否则容易发生错误。</w:t>
      </w:r>
    </w:p>
    <w:p w14:paraId="381A14D7">
      <w:pPr>
        <w:rPr>
          <w:sz w:val="32"/>
          <w:szCs w:val="32"/>
        </w:rPr>
      </w:pPr>
      <w:r>
        <w:drawing>
          <wp:inline distT="0" distB="0" distL="0" distR="0">
            <wp:extent cx="5274310" cy="4455160"/>
            <wp:effectExtent l="0" t="0" r="8890" b="254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EC234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第四步：完成注册后，进入会员信息登记界面，请根据登记要求填写相关内容。注意*标志信息必须填写。填写完毕后，需要经秘书处审核。请耐心等待1个工作日，如果审核有问题，请于联系人联系。</w:t>
      </w:r>
    </w:p>
    <w:p w14:paraId="07C953DC">
      <w:pPr>
        <w:rPr>
          <w:sz w:val="32"/>
          <w:szCs w:val="32"/>
        </w:rPr>
      </w:pPr>
      <w:r>
        <w:drawing>
          <wp:inline distT="0" distB="0" distL="0" distR="0">
            <wp:extent cx="5274310" cy="3145155"/>
            <wp:effectExtent l="0" t="0" r="8890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E4F74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第五步：审核完毕后，再次登录系统，点击“缴纳会费”。注意登录系统的用户名为注册的手机号。选择“缴纳会费”，按照流程即可缴纳。</w:t>
      </w:r>
    </w:p>
    <w:p w14:paraId="404F4E54">
      <w:pPr>
        <w:rPr>
          <w:rFonts w:hint="eastAsia"/>
          <w:sz w:val="32"/>
          <w:szCs w:val="32"/>
        </w:rPr>
      </w:pPr>
      <w:r>
        <w:drawing>
          <wp:inline distT="0" distB="0" distL="0" distR="0">
            <wp:extent cx="5274310" cy="3625215"/>
            <wp:effectExtent l="0" t="0" r="8890" b="698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08CD5">
      <w:pPr>
        <w:widowControl/>
        <w:spacing w:line="440" w:lineRule="exact"/>
        <w:rPr>
          <w:rFonts w:hint="eastAsia" w:ascii="黑体" w:hAnsi="黑体" w:eastAsia="黑体"/>
          <w:sz w:val="32"/>
          <w:szCs w:val="32"/>
          <w:lang w:eastAsia="zh-CN"/>
        </w:rPr>
      </w:pPr>
    </w:p>
    <w:p w14:paraId="1C214D27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7DF8E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9DE1F8">
                          <w:pPr>
                            <w:pStyle w:val="2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79DE1F8">
                    <w:pPr>
                      <w:pStyle w:val="2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A52CC4"/>
    <w:rsid w:val="0EA52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page number"/>
    <w:qFormat/>
    <w:uiPriority w:val="0"/>
    <w:rPr>
      <w:rFonts w:cs="Times New Roman"/>
    </w:rPr>
  </w:style>
  <w:style w:type="character" w:styleId="7">
    <w:name w:val="Hyperlink"/>
    <w:basedOn w:val="5"/>
    <w:qFormat/>
    <w:uiPriority w:val="0"/>
    <w:rPr>
      <w:rFonts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2025-10-27T05:31:00Z</dcterms:created>
  <dc:creator>冯榛垚</dc:creator>
  <cp:lastModifiedBy>冯榛垚</cp:lastModifiedBy>
  <dcterms:modified xsi:type="dcterms:W3CDTF">2025-10-27T05:31:41Z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B94CFD2AD07A48109E4C7ECAF81078BB_11</vt:lpwstr>
  </property>
  <property fmtid="{D5CDD505-2E9C-101B-9397-08002B2CF9AE}" pid="4" name="KSOTemplateDocerSaveRecord">
    <vt:lpwstr>eyJoZGlkIjoiY2IyM2M4YzBlZjM3NThiNDFhNzU1YTM1ZjNmZjE5YWIiLCJ1c2VySWQiOiIyODk5NTIzMzEifQ==</vt:lpwstr>
  </property>
</Properties>
</file>